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E4" w:rsidRDefault="003E7DE4" w:rsidP="003E7DE4">
      <w:pPr>
        <w:pStyle w:val="Cabealh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8837218" wp14:editId="25BCE5ED">
            <wp:extent cx="628650" cy="666750"/>
            <wp:effectExtent l="0" t="0" r="0" b="0"/>
            <wp:docPr id="10" name="Imagem 10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E4" w:rsidRDefault="003E7DE4" w:rsidP="003E7DE4">
      <w:pPr>
        <w:pStyle w:val="Cabealho"/>
        <w:jc w:val="center"/>
        <w:rPr>
          <w:color w:val="000000"/>
        </w:rPr>
      </w:pPr>
    </w:p>
    <w:p w:rsidR="003E7DE4" w:rsidRDefault="003E7DE4" w:rsidP="003E7DE4">
      <w:pPr>
        <w:pStyle w:val="Cabealh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ASSEMBLÉIA LEGISLATIVA DO ESTADO DE PERNAMBUCO</w:t>
      </w:r>
    </w:p>
    <w:p w:rsidR="003E7DE4" w:rsidRPr="008E6F1A" w:rsidRDefault="003E7DE4" w:rsidP="003E7DE4">
      <w:pPr>
        <w:pStyle w:val="Cabealho"/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00"/>
        </w:rPr>
        <w:t xml:space="preserve">Gabinete da Deputada </w:t>
      </w:r>
      <w:r>
        <w:rPr>
          <w:rFonts w:ascii="Arial" w:hAnsi="Arial" w:cs="Arial"/>
          <w:b/>
          <w:bCs/>
          <w:color w:val="000000"/>
        </w:rPr>
        <w:t>Priscila Krause</w:t>
      </w:r>
    </w:p>
    <w:p w:rsidR="003E7DE4" w:rsidRDefault="003E7DE4" w:rsidP="003E7DE4"/>
    <w:p w:rsidR="003E7DE4" w:rsidRDefault="003E7DE4" w:rsidP="00903EB7">
      <w:pPr>
        <w:spacing w:line="360" w:lineRule="auto"/>
      </w:pPr>
    </w:p>
    <w:p w:rsidR="003E7DE4" w:rsidRDefault="003E7DE4" w:rsidP="00903EB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Recife, 27 de fevereiro de 2019</w:t>
      </w:r>
    </w:p>
    <w:p w:rsidR="003E7DE4" w:rsidRDefault="003E7DE4" w:rsidP="00903EB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3E7DE4" w:rsidRDefault="003E7DE4" w:rsidP="00903E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Att. Sua Excelência presidente do Tribunal de Contas do Estado de Pernambuco, conselheiro Marcos </w:t>
      </w:r>
      <w:proofErr w:type="gramStart"/>
      <w:r>
        <w:rPr>
          <w:rFonts w:ascii="Arial" w:hAnsi="Arial" w:cs="Arial"/>
          <w:sz w:val="24"/>
          <w:szCs w:val="24"/>
        </w:rPr>
        <w:t>Loreto</w:t>
      </w:r>
      <w:proofErr w:type="gramEnd"/>
    </w:p>
    <w:p w:rsidR="003E7DE4" w:rsidRDefault="003E7DE4" w:rsidP="00903E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7D04" w:rsidRDefault="003E7DE4" w:rsidP="00903E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Cumprimentando este egrégio Tribunal de Contas pelos relevantes serviços pr</w:t>
      </w:r>
      <w:r w:rsidR="00FC7D04">
        <w:rPr>
          <w:rFonts w:ascii="Arial" w:hAnsi="Arial" w:cs="Arial"/>
          <w:sz w:val="24"/>
          <w:szCs w:val="24"/>
        </w:rPr>
        <w:t>estados ao Estado de Pernambuco, especialmente nesse momento de confraternização pelos seus 50 anos de história, venho através deste solicitar análise e providências a respeito de medida promovida pelo Poder Executivo Estadual referente ao exercício de 2018 flagrantemente em desacordo com os preceitos de responsabilidade fiscal e normas licitatórias em voga no País, especificamente no que se refere a operação no âmbito da Receita Patrimonial daquele ano.</w:t>
      </w:r>
    </w:p>
    <w:p w:rsidR="007D34AD" w:rsidRDefault="00FC7D04" w:rsidP="00903E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Em resumo, a administração estadual antecipou </w:t>
      </w:r>
      <w:r w:rsidR="00E73243">
        <w:rPr>
          <w:rFonts w:ascii="Arial" w:hAnsi="Arial" w:cs="Arial"/>
          <w:sz w:val="24"/>
          <w:szCs w:val="24"/>
        </w:rPr>
        <w:t xml:space="preserve">em 24 meses </w:t>
      </w:r>
      <w:r>
        <w:rPr>
          <w:rFonts w:ascii="Arial" w:hAnsi="Arial" w:cs="Arial"/>
          <w:sz w:val="24"/>
          <w:szCs w:val="24"/>
        </w:rPr>
        <w:t xml:space="preserve">a </w:t>
      </w:r>
      <w:r w:rsidR="00801AD9">
        <w:rPr>
          <w:rFonts w:ascii="Arial" w:hAnsi="Arial" w:cs="Arial"/>
          <w:sz w:val="24"/>
          <w:szCs w:val="24"/>
        </w:rPr>
        <w:t>contratação da instituição financeira responsável pela</w:t>
      </w:r>
      <w:r>
        <w:rPr>
          <w:rFonts w:ascii="Arial" w:hAnsi="Arial" w:cs="Arial"/>
          <w:sz w:val="24"/>
          <w:szCs w:val="24"/>
        </w:rPr>
        <w:t xml:space="preserve"> operacionalização da sua folha de pagamento referente ao período</w:t>
      </w:r>
      <w:r w:rsidR="00801AD9">
        <w:rPr>
          <w:rFonts w:ascii="Arial" w:hAnsi="Arial" w:cs="Arial"/>
          <w:sz w:val="24"/>
          <w:szCs w:val="24"/>
        </w:rPr>
        <w:t xml:space="preserve"> fevereiro de 2021 a fevereiro de 2022, sem a realização de leilão público</w:t>
      </w:r>
      <w:r w:rsidR="00E73243">
        <w:rPr>
          <w:rFonts w:ascii="Arial" w:hAnsi="Arial" w:cs="Arial"/>
          <w:sz w:val="24"/>
          <w:szCs w:val="24"/>
        </w:rPr>
        <w:t xml:space="preserve">, </w:t>
      </w:r>
      <w:r w:rsidR="00801AD9">
        <w:rPr>
          <w:rFonts w:ascii="Arial" w:hAnsi="Arial" w:cs="Arial"/>
          <w:sz w:val="24"/>
          <w:szCs w:val="24"/>
        </w:rPr>
        <w:t xml:space="preserve">aditando extemporaneamente </w:t>
      </w:r>
      <w:r w:rsidR="00E73243">
        <w:rPr>
          <w:rFonts w:ascii="Arial" w:hAnsi="Arial" w:cs="Arial"/>
          <w:sz w:val="24"/>
          <w:szCs w:val="24"/>
        </w:rPr>
        <w:t xml:space="preserve">um contrato que já não permitiria, conforme a Lei das Licitações (Lei federal 8.666, de 21 de junho de 1993), </w:t>
      </w:r>
      <w:r w:rsidR="006E4C23">
        <w:rPr>
          <w:rFonts w:ascii="Arial" w:hAnsi="Arial" w:cs="Arial"/>
          <w:sz w:val="24"/>
          <w:szCs w:val="24"/>
        </w:rPr>
        <w:t xml:space="preserve">novas prorrogações de tempo visto que já cumpre, desde a contratação inicial, a temporariedade máxima (60 meses). </w:t>
      </w:r>
      <w:r w:rsidR="00B5093F">
        <w:rPr>
          <w:rFonts w:ascii="Arial" w:hAnsi="Arial" w:cs="Arial"/>
          <w:sz w:val="24"/>
          <w:szCs w:val="24"/>
        </w:rPr>
        <w:t>Ao mesmo tempo, a operação ocorreu sem a transpa</w:t>
      </w:r>
      <w:r w:rsidR="0076458F">
        <w:rPr>
          <w:rFonts w:ascii="Arial" w:hAnsi="Arial" w:cs="Arial"/>
          <w:sz w:val="24"/>
          <w:szCs w:val="24"/>
        </w:rPr>
        <w:t>rência obrigatória</w:t>
      </w:r>
      <w:r w:rsidR="007A7342">
        <w:rPr>
          <w:rFonts w:ascii="Arial" w:hAnsi="Arial" w:cs="Arial"/>
          <w:sz w:val="24"/>
          <w:szCs w:val="24"/>
        </w:rPr>
        <w:t>,</w:t>
      </w:r>
      <w:r w:rsidR="0076458F">
        <w:rPr>
          <w:rFonts w:ascii="Arial" w:hAnsi="Arial" w:cs="Arial"/>
          <w:sz w:val="24"/>
          <w:szCs w:val="24"/>
        </w:rPr>
        <w:t xml:space="preserve"> pois </w:t>
      </w:r>
      <w:r w:rsidR="00B5093F">
        <w:rPr>
          <w:rFonts w:ascii="Arial" w:hAnsi="Arial" w:cs="Arial"/>
          <w:sz w:val="24"/>
          <w:szCs w:val="24"/>
        </w:rPr>
        <w:t xml:space="preserve">até o momento – mesmo com os recursos depositados ainda na primeira quinzena de dezembro do ano passado – não houve a publicação do termo aditivo no Diário Oficial do </w:t>
      </w:r>
    </w:p>
    <w:p w:rsidR="007D34AD" w:rsidRDefault="007D34AD" w:rsidP="00903E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34AD" w:rsidRDefault="007D34AD" w:rsidP="007D34AD">
      <w:pPr>
        <w:pStyle w:val="Cabealh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5A965FCB" wp14:editId="55E5C909">
            <wp:extent cx="628650" cy="666750"/>
            <wp:effectExtent l="0" t="0" r="0" b="0"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AD" w:rsidRDefault="007D34AD" w:rsidP="007D34AD">
      <w:pPr>
        <w:pStyle w:val="Cabealho"/>
        <w:jc w:val="center"/>
        <w:rPr>
          <w:color w:val="000000"/>
        </w:rPr>
      </w:pPr>
    </w:p>
    <w:p w:rsidR="007D34AD" w:rsidRDefault="007D34AD" w:rsidP="007D34AD">
      <w:pPr>
        <w:pStyle w:val="Cabealh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ASSEMBLÉIA LEGISLATIVA DO ESTADO DE PERNAMBUCO</w:t>
      </w:r>
    </w:p>
    <w:p w:rsidR="007D34AD" w:rsidRPr="008E6F1A" w:rsidRDefault="007D34AD" w:rsidP="007D34AD">
      <w:pPr>
        <w:pStyle w:val="Cabealho"/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00"/>
        </w:rPr>
        <w:t xml:space="preserve">Gabinete da Deputada </w:t>
      </w:r>
      <w:r>
        <w:rPr>
          <w:rFonts w:ascii="Arial" w:hAnsi="Arial" w:cs="Arial"/>
          <w:b/>
          <w:bCs/>
          <w:color w:val="000000"/>
        </w:rPr>
        <w:t>Priscila Krause</w:t>
      </w:r>
    </w:p>
    <w:p w:rsidR="007D34AD" w:rsidRDefault="007D34AD" w:rsidP="00903E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7DE4" w:rsidRDefault="00B5093F" w:rsidP="00903E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Estado, assim como também não há registros de quaisquer pronunciamentos oficiais da gestão a respeito dessa operação</w:t>
      </w:r>
      <w:r w:rsidR="0076458F">
        <w:rPr>
          <w:rFonts w:ascii="Arial" w:hAnsi="Arial" w:cs="Arial"/>
          <w:sz w:val="24"/>
          <w:szCs w:val="24"/>
        </w:rPr>
        <w:t xml:space="preserve"> de relevante monta</w:t>
      </w:r>
      <w:r>
        <w:rPr>
          <w:rFonts w:ascii="Arial" w:hAnsi="Arial" w:cs="Arial"/>
          <w:sz w:val="24"/>
          <w:szCs w:val="24"/>
        </w:rPr>
        <w:t>.</w:t>
      </w:r>
    </w:p>
    <w:p w:rsidR="006E4C23" w:rsidRDefault="006E4C23" w:rsidP="00903E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Conhecidas as dificuldades de caixa do Tesouro Estadual, apresentadas concomitantemente a seguidos incrementos de receita, faz-se fundamental que o fechamento das contas da administração estadual, sobretudo no exercício de 2018, quando se encerrou a gestão anterior, fundamente-se no estrito respeito à legislação vigente, </w:t>
      </w:r>
      <w:r w:rsidR="007A7342">
        <w:rPr>
          <w:rFonts w:ascii="Arial" w:hAnsi="Arial" w:cs="Arial"/>
          <w:sz w:val="24"/>
          <w:szCs w:val="24"/>
        </w:rPr>
        <w:t>principalmente</w:t>
      </w:r>
      <w:r>
        <w:rPr>
          <w:rFonts w:ascii="Arial" w:hAnsi="Arial" w:cs="Arial"/>
          <w:sz w:val="24"/>
          <w:szCs w:val="24"/>
        </w:rPr>
        <w:t xml:space="preserve"> no que concerne à consolidação dos padrões fiscais responsáveis e eficient</w:t>
      </w:r>
      <w:r w:rsidR="00B5093F">
        <w:rPr>
          <w:rFonts w:ascii="Arial" w:hAnsi="Arial" w:cs="Arial"/>
          <w:sz w:val="24"/>
          <w:szCs w:val="24"/>
        </w:rPr>
        <w:t>es, evitando que o esfacelamento dessa base se reflita lo</w:t>
      </w:r>
      <w:r w:rsidR="007A7342">
        <w:rPr>
          <w:rFonts w:ascii="Arial" w:hAnsi="Arial" w:cs="Arial"/>
          <w:sz w:val="24"/>
          <w:szCs w:val="24"/>
        </w:rPr>
        <w:t>go mais à frente em hipotético, mas</w:t>
      </w:r>
      <w:r w:rsidR="00B5093F">
        <w:rPr>
          <w:rFonts w:ascii="Arial" w:hAnsi="Arial" w:cs="Arial"/>
          <w:sz w:val="24"/>
          <w:szCs w:val="24"/>
        </w:rPr>
        <w:t xml:space="preserve"> possível</w:t>
      </w:r>
      <w:r w:rsidR="007A7342">
        <w:rPr>
          <w:rFonts w:ascii="Arial" w:hAnsi="Arial" w:cs="Arial"/>
          <w:sz w:val="24"/>
          <w:szCs w:val="24"/>
        </w:rPr>
        <w:t>,</w:t>
      </w:r>
      <w:r w:rsidR="00B5093F">
        <w:rPr>
          <w:rFonts w:ascii="Arial" w:hAnsi="Arial" w:cs="Arial"/>
          <w:sz w:val="24"/>
          <w:szCs w:val="24"/>
        </w:rPr>
        <w:t xml:space="preserve"> novo ciclo contracionista da economia. </w:t>
      </w:r>
      <w:r w:rsidR="0076458F">
        <w:rPr>
          <w:rFonts w:ascii="Arial" w:hAnsi="Arial" w:cs="Arial"/>
          <w:sz w:val="24"/>
          <w:szCs w:val="24"/>
        </w:rPr>
        <w:t>A obtenção de receitas a partir de métodos heterodoxos justamente na período de conclusão da gestão pode, além de prejudicar receitas futuras, maquiar dados e parâmetros fiscais que devem sempre ser balizados a partir da consolidação de práticas fiscais antenadas à rigidez que o tema demanda.</w:t>
      </w:r>
    </w:p>
    <w:p w:rsidR="00B5093F" w:rsidRPr="00B5093F" w:rsidRDefault="00B5093F" w:rsidP="00903E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093F">
        <w:rPr>
          <w:rFonts w:ascii="Arial" w:hAnsi="Arial" w:cs="Arial"/>
          <w:b/>
          <w:sz w:val="24"/>
          <w:szCs w:val="24"/>
        </w:rPr>
        <w:tab/>
        <w:t xml:space="preserve">Aos fatos: </w:t>
      </w:r>
    </w:p>
    <w:p w:rsidR="00B5093F" w:rsidRDefault="00B5093F" w:rsidP="00903E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acompanhamento semanal realizado pelo nosso gabinete nos dados apresentados pela administração estadual no seu sítio eletrônico, identificamos no mês de dezembro o registro de entrada de R$ 139,2 milhões </w:t>
      </w:r>
      <w:r w:rsidR="007A7342">
        <w:rPr>
          <w:rFonts w:ascii="Arial" w:hAnsi="Arial" w:cs="Arial"/>
          <w:sz w:val="24"/>
          <w:szCs w:val="24"/>
        </w:rPr>
        <w:t xml:space="preserve">no âmbito das </w:t>
      </w:r>
      <w:r w:rsidR="000C5561">
        <w:rPr>
          <w:rFonts w:ascii="Arial" w:hAnsi="Arial" w:cs="Arial"/>
          <w:sz w:val="24"/>
          <w:szCs w:val="24"/>
        </w:rPr>
        <w:t>Receitas Correntes/Receita Patrimonial/Receita de Cessão de Direitos/Receita de Cessão de Direito de Operacionalização de Pagament</w:t>
      </w:r>
      <w:r w:rsidR="007A7342">
        <w:rPr>
          <w:rFonts w:ascii="Arial" w:hAnsi="Arial" w:cs="Arial"/>
          <w:sz w:val="24"/>
          <w:szCs w:val="24"/>
        </w:rPr>
        <w:t>os.</w:t>
      </w:r>
      <w:r w:rsidR="000C5561">
        <w:rPr>
          <w:rFonts w:ascii="Arial" w:hAnsi="Arial" w:cs="Arial"/>
          <w:sz w:val="24"/>
          <w:szCs w:val="24"/>
        </w:rPr>
        <w:t xml:space="preserve"> – ANEXO A.</w:t>
      </w:r>
    </w:p>
    <w:p w:rsidR="000C5561" w:rsidRDefault="000C5561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6458F" w:rsidRDefault="000C5561" w:rsidP="0076458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561">
        <w:rPr>
          <w:rFonts w:ascii="Arial" w:hAnsi="Arial" w:cs="Arial"/>
          <w:sz w:val="24"/>
          <w:szCs w:val="24"/>
        </w:rPr>
        <w:t>Em dec</w:t>
      </w:r>
      <w:r w:rsidR="007A7342">
        <w:rPr>
          <w:rFonts w:ascii="Arial" w:hAnsi="Arial" w:cs="Arial"/>
          <w:sz w:val="24"/>
          <w:szCs w:val="24"/>
        </w:rPr>
        <w:t>orrência do registro, questionamos</w:t>
      </w:r>
      <w:r w:rsidRPr="000C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Secretaria de Administração, responsável pela operação da folha de pagamentos, por meio de pedido de informações via Lei de Acesso à Informação, em 19 de dezembro de 2018. A resposta enviada pela gestão </w:t>
      </w:r>
    </w:p>
    <w:p w:rsidR="0076458F" w:rsidRDefault="0076458F" w:rsidP="0076458F">
      <w:pPr>
        <w:pStyle w:val="Cabealh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1B210F5D" wp14:editId="5E5714D6">
            <wp:extent cx="628650" cy="666750"/>
            <wp:effectExtent l="0" t="0" r="0" b="0"/>
            <wp:docPr id="2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8F" w:rsidRDefault="0076458F" w:rsidP="0076458F">
      <w:pPr>
        <w:pStyle w:val="Cabealho"/>
        <w:jc w:val="center"/>
        <w:rPr>
          <w:color w:val="000000"/>
        </w:rPr>
      </w:pPr>
    </w:p>
    <w:p w:rsidR="0076458F" w:rsidRDefault="0076458F" w:rsidP="0076458F">
      <w:pPr>
        <w:pStyle w:val="Cabealh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ASSEMBLÉIA LEGISLATIVA DO ESTADO DE PERNAMBUCO</w:t>
      </w:r>
    </w:p>
    <w:p w:rsidR="0076458F" w:rsidRPr="008E6F1A" w:rsidRDefault="0076458F" w:rsidP="0076458F">
      <w:pPr>
        <w:pStyle w:val="Cabealho"/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00"/>
        </w:rPr>
        <w:t xml:space="preserve">Gabinete da Deputada </w:t>
      </w:r>
      <w:r>
        <w:rPr>
          <w:rFonts w:ascii="Arial" w:hAnsi="Arial" w:cs="Arial"/>
          <w:b/>
          <w:bCs/>
          <w:color w:val="000000"/>
        </w:rPr>
        <w:t>Priscila Krause</w:t>
      </w:r>
    </w:p>
    <w:p w:rsidR="0076458F" w:rsidRDefault="0076458F" w:rsidP="0076458F">
      <w:pPr>
        <w:pStyle w:val="PargrafodaLista"/>
        <w:rPr>
          <w:rFonts w:ascii="Arial" w:hAnsi="Arial" w:cs="Arial"/>
          <w:sz w:val="24"/>
          <w:szCs w:val="24"/>
        </w:rPr>
      </w:pPr>
    </w:p>
    <w:p w:rsidR="0076458F" w:rsidRPr="0076458F" w:rsidRDefault="0076458F" w:rsidP="0076458F">
      <w:pPr>
        <w:pStyle w:val="PargrafodaLista"/>
        <w:rPr>
          <w:rFonts w:ascii="Arial" w:hAnsi="Arial" w:cs="Arial"/>
          <w:sz w:val="24"/>
          <w:szCs w:val="24"/>
        </w:rPr>
      </w:pPr>
    </w:p>
    <w:p w:rsidR="00B5093F" w:rsidRPr="0076458F" w:rsidRDefault="000C5561" w:rsidP="0076458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estadual contemplou a cópia do contrato de prestação de serviços entre a Secretaria de Administração e o Banco Bradesco – contrato 080/2015 (ANEXO B), o primeiro termo aditivo ao contrato nº 080/2015, de 15 de julho de 2016 (ANEXO C), o segundo termo </w:t>
      </w:r>
      <w:r w:rsidRPr="0076458F">
        <w:rPr>
          <w:rFonts w:ascii="Arial" w:hAnsi="Arial" w:cs="Arial"/>
          <w:sz w:val="24"/>
          <w:szCs w:val="24"/>
        </w:rPr>
        <w:t>aditivo ao contrato nº 08/2015, de 07 de dezembro de 2018</w:t>
      </w:r>
      <w:r w:rsidR="007C7923" w:rsidRPr="0076458F">
        <w:rPr>
          <w:rFonts w:ascii="Arial" w:hAnsi="Arial" w:cs="Arial"/>
          <w:sz w:val="24"/>
          <w:szCs w:val="24"/>
        </w:rPr>
        <w:t xml:space="preserve"> (ANEXO D)</w:t>
      </w:r>
      <w:r w:rsidRPr="0076458F">
        <w:rPr>
          <w:rFonts w:ascii="Arial" w:hAnsi="Arial" w:cs="Arial"/>
          <w:sz w:val="24"/>
          <w:szCs w:val="24"/>
        </w:rPr>
        <w:t xml:space="preserve">, e a Nota Técnica intitulada “Projeto eSocial”, da própria Secretaria de Administração, </w:t>
      </w:r>
      <w:r w:rsidR="00C1266D" w:rsidRPr="0076458F">
        <w:rPr>
          <w:rFonts w:ascii="Arial" w:hAnsi="Arial" w:cs="Arial"/>
          <w:sz w:val="24"/>
          <w:szCs w:val="24"/>
        </w:rPr>
        <w:t>datada de 18 de outubro de 2018</w:t>
      </w:r>
      <w:r w:rsidR="007C7923" w:rsidRPr="0076458F">
        <w:rPr>
          <w:rFonts w:ascii="Arial" w:hAnsi="Arial" w:cs="Arial"/>
          <w:sz w:val="24"/>
          <w:szCs w:val="24"/>
        </w:rPr>
        <w:t xml:space="preserve"> (ANEXO E)</w:t>
      </w:r>
      <w:r w:rsidR="00C1266D" w:rsidRPr="0076458F">
        <w:rPr>
          <w:rFonts w:ascii="Arial" w:hAnsi="Arial" w:cs="Arial"/>
          <w:sz w:val="24"/>
          <w:szCs w:val="24"/>
        </w:rPr>
        <w:t xml:space="preserve">. </w:t>
      </w:r>
    </w:p>
    <w:p w:rsidR="00C1266D" w:rsidRPr="00C1266D" w:rsidRDefault="00C1266D" w:rsidP="00903EB7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771170" w:rsidRDefault="00771170" w:rsidP="00903E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segundo termo aditivo ao contrato, alvo do questionamento ora em discussão “consiste na prorrogação, até 01 de fevereiro de 2022, do contrato nº 080/2015, visando assegurar o cumprimento das obrigações do contratado, definidas na cláusula sexta do instrumento ora aditado”. Conforme o texto aditado ao contrato, registram-se como </w:t>
      </w:r>
      <w:r w:rsidR="007A7342">
        <w:rPr>
          <w:rFonts w:ascii="Arial" w:hAnsi="Arial" w:cs="Arial"/>
          <w:sz w:val="24"/>
          <w:szCs w:val="24"/>
        </w:rPr>
        <w:t xml:space="preserve">novas </w:t>
      </w:r>
      <w:r>
        <w:rPr>
          <w:rFonts w:ascii="Arial" w:hAnsi="Arial" w:cs="Arial"/>
          <w:sz w:val="24"/>
          <w:szCs w:val="24"/>
        </w:rPr>
        <w:t xml:space="preserve">obrigações do contratado “a prestação de suporte técnico para a adequação do Sistema de Pagamento de Pessoal do Estado ao Sistema de Escrituração Digital das Obrigações Fiscais, Previdenciárias e Trabalhistas – eSocial (...), “adaptação de softwares necessários ao aprimoramento e ao perfeito funcionamento do Sistema de Pagamento de Pessoal do Estado” e “recadastramento e prova de vida de que trata a cláusula sexta do Contrato ora aditado, contemplando todas as informações exigidas para o eSocial”. É preciso registrar, no entanto, que as informações registradas como complemento às atividades da contratada já estão contempladas no contrato original, de dezembro de 2015, como se vê: </w:t>
      </w:r>
    </w:p>
    <w:p w:rsidR="00771170" w:rsidRPr="00771170" w:rsidRDefault="00771170" w:rsidP="00903EB7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771170" w:rsidRPr="00771170" w:rsidRDefault="00771170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771170">
        <w:rPr>
          <w:rFonts w:ascii="Arial" w:hAnsi="Arial" w:cs="Arial"/>
          <w:i/>
          <w:sz w:val="24"/>
          <w:szCs w:val="24"/>
        </w:rPr>
        <w:t>CLÁUSULA SEXTA – DAS OBRIGAÇÕES DO CONTRATADO:</w:t>
      </w:r>
    </w:p>
    <w:p w:rsidR="007A7342" w:rsidRDefault="007A7342" w:rsidP="007A7342">
      <w:pPr>
        <w:pStyle w:val="Cabealh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02A4081C" wp14:editId="69D7D48A">
            <wp:extent cx="628650" cy="666750"/>
            <wp:effectExtent l="0" t="0" r="0" b="0"/>
            <wp:docPr id="3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42" w:rsidRDefault="007A7342" w:rsidP="007A7342">
      <w:pPr>
        <w:pStyle w:val="Cabealho"/>
        <w:jc w:val="center"/>
        <w:rPr>
          <w:color w:val="000000"/>
        </w:rPr>
      </w:pPr>
    </w:p>
    <w:p w:rsidR="007A7342" w:rsidRDefault="007A7342" w:rsidP="007A7342">
      <w:pPr>
        <w:pStyle w:val="Cabealh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ASSEMBLÉIA LEGISLATIVA DO ESTADO DE PERNAMBUCO</w:t>
      </w:r>
    </w:p>
    <w:p w:rsidR="007A7342" w:rsidRPr="008E6F1A" w:rsidRDefault="007A7342" w:rsidP="007A7342">
      <w:pPr>
        <w:pStyle w:val="Cabealho"/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00"/>
        </w:rPr>
        <w:t xml:space="preserve">Gabinete da Deputada </w:t>
      </w:r>
      <w:r>
        <w:rPr>
          <w:rFonts w:ascii="Arial" w:hAnsi="Arial" w:cs="Arial"/>
          <w:b/>
          <w:bCs/>
          <w:color w:val="000000"/>
        </w:rPr>
        <w:t>Priscila Krause</w:t>
      </w:r>
    </w:p>
    <w:p w:rsidR="00771170" w:rsidRDefault="00771170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A7342" w:rsidRDefault="007A7342" w:rsidP="007A7342">
      <w:pPr>
        <w:pStyle w:val="PargrafodaLista"/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771170" w:rsidRPr="007A7342" w:rsidRDefault="00771170" w:rsidP="007A7342">
      <w:pPr>
        <w:pStyle w:val="PargrafodaLista"/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771170">
        <w:rPr>
          <w:rFonts w:ascii="Arial" w:hAnsi="Arial" w:cs="Arial"/>
          <w:i/>
          <w:sz w:val="24"/>
          <w:szCs w:val="24"/>
        </w:rPr>
        <w:t xml:space="preserve">b) adotar os procedimentos previstos nas normas regulamentares expedidas pelo Conselho Monetário Nacional e pelo Banco Central </w:t>
      </w:r>
      <w:r w:rsidRPr="007A7342">
        <w:rPr>
          <w:rFonts w:ascii="Arial" w:hAnsi="Arial" w:cs="Arial"/>
          <w:i/>
          <w:sz w:val="24"/>
          <w:szCs w:val="24"/>
        </w:rPr>
        <w:t>do Brasil, bem como as normas estaduais que vierem a ser editadas sobre crédito de pagamento de salários;</w:t>
      </w:r>
    </w:p>
    <w:p w:rsidR="00771170" w:rsidRDefault="00771170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771170" w:rsidRDefault="0012298E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="00771170">
        <w:rPr>
          <w:rFonts w:ascii="Arial" w:hAnsi="Arial" w:cs="Arial"/>
          <w:i/>
          <w:sz w:val="24"/>
          <w:szCs w:val="24"/>
        </w:rPr>
        <w:t xml:space="preserve">) </w:t>
      </w:r>
      <w:r>
        <w:rPr>
          <w:rFonts w:ascii="Arial" w:hAnsi="Arial" w:cs="Arial"/>
          <w:i/>
          <w:sz w:val="24"/>
          <w:szCs w:val="24"/>
        </w:rPr>
        <w:t xml:space="preserve">proceder, sem ônus para o Contratante, todas as adaptações de seus softwares necessários ao aprimoramento e perfeito funcionamento do Sistema de Pagamento de Pessoal do Estado; </w:t>
      </w:r>
    </w:p>
    <w:p w:rsidR="0012298E" w:rsidRDefault="0012298E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12298E" w:rsidRDefault="0012298E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realizar recadastramento e prova de vida para todos os aposentados e pensionistas do regime próprio de previdência do Estado (...)</w:t>
      </w:r>
    </w:p>
    <w:p w:rsidR="0012298E" w:rsidRDefault="0012298E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12298E" w:rsidRDefault="0012298E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2298E">
        <w:rPr>
          <w:rFonts w:ascii="Arial" w:hAnsi="Arial" w:cs="Arial"/>
          <w:b/>
          <w:sz w:val="24"/>
          <w:szCs w:val="24"/>
          <w:u w:val="single"/>
        </w:rPr>
        <w:t xml:space="preserve">Como se vê, as adaptações decorrentes do sistema de pagamento, nesse caso as obrigatoriedades referentes ao </w:t>
      </w:r>
      <w:proofErr w:type="gramStart"/>
      <w:r w:rsidRPr="0012298E">
        <w:rPr>
          <w:rFonts w:ascii="Arial" w:hAnsi="Arial" w:cs="Arial"/>
          <w:b/>
          <w:sz w:val="24"/>
          <w:szCs w:val="24"/>
          <w:u w:val="single"/>
        </w:rPr>
        <w:t>eSocial</w:t>
      </w:r>
      <w:proofErr w:type="gramEnd"/>
      <w:r w:rsidRPr="0012298E">
        <w:rPr>
          <w:rFonts w:ascii="Arial" w:hAnsi="Arial" w:cs="Arial"/>
          <w:b/>
          <w:sz w:val="24"/>
          <w:szCs w:val="24"/>
          <w:u w:val="single"/>
        </w:rPr>
        <w:t>, enquadram-se nas adaptações e o</w:t>
      </w:r>
      <w:r w:rsidR="007A7342">
        <w:rPr>
          <w:rFonts w:ascii="Arial" w:hAnsi="Arial" w:cs="Arial"/>
          <w:b/>
          <w:sz w:val="24"/>
          <w:szCs w:val="24"/>
          <w:u w:val="single"/>
        </w:rPr>
        <w:t>brigatoriedades previstas já no contrato original</w:t>
      </w:r>
      <w:r w:rsidRPr="0012298E">
        <w:rPr>
          <w:rFonts w:ascii="Arial" w:hAnsi="Arial" w:cs="Arial"/>
          <w:b/>
          <w:sz w:val="24"/>
          <w:szCs w:val="24"/>
          <w:u w:val="single"/>
        </w:rPr>
        <w:t>, não guardando qualquer relação com a necessidade de se antecipar em 24 meses a prorrogação contratual por um ano, visto que se faz – para isso – a antecipação de uma receita que só se consolidaria ao final de 2020 a partir da negociação de um significativo ativo do Estado que é justamente o direito da operacionalização da folha de pagamento.</w:t>
      </w:r>
      <w:r w:rsidR="007A7342">
        <w:rPr>
          <w:rFonts w:ascii="Arial" w:hAnsi="Arial" w:cs="Arial"/>
          <w:b/>
          <w:sz w:val="24"/>
          <w:szCs w:val="24"/>
          <w:u w:val="single"/>
        </w:rPr>
        <w:t xml:space="preserve"> Nesse caso, abre-se mão de negociar em novo leilão, ao fim de 2020, contrato mais benéfico ao Estado para, ao contrário, antecipar indevidamente a receita.</w:t>
      </w:r>
    </w:p>
    <w:p w:rsidR="007A7342" w:rsidRDefault="007A7342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A7342" w:rsidRDefault="007A7342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A7342" w:rsidRDefault="007A7342" w:rsidP="007A7342">
      <w:pPr>
        <w:pStyle w:val="Cabealh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726F09BD" wp14:editId="28D586C8">
            <wp:extent cx="628650" cy="666750"/>
            <wp:effectExtent l="0" t="0" r="0" b="0"/>
            <wp:docPr id="4" name="Imagem 4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42" w:rsidRDefault="007A7342" w:rsidP="007A7342">
      <w:pPr>
        <w:pStyle w:val="Cabealho"/>
        <w:jc w:val="center"/>
        <w:rPr>
          <w:color w:val="000000"/>
        </w:rPr>
      </w:pPr>
    </w:p>
    <w:p w:rsidR="007A7342" w:rsidRDefault="007A7342" w:rsidP="007A7342">
      <w:pPr>
        <w:pStyle w:val="Cabealh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ASSEMBLÉIA LEGISLATIVA DO ESTADO DE PERNAMBUCO</w:t>
      </w:r>
    </w:p>
    <w:p w:rsidR="007A7342" w:rsidRPr="008E6F1A" w:rsidRDefault="007A7342" w:rsidP="007A7342">
      <w:pPr>
        <w:pStyle w:val="Cabealho"/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00"/>
        </w:rPr>
        <w:t xml:space="preserve">Gabinete da Deputada </w:t>
      </w:r>
      <w:r>
        <w:rPr>
          <w:rFonts w:ascii="Arial" w:hAnsi="Arial" w:cs="Arial"/>
          <w:b/>
          <w:bCs/>
          <w:color w:val="000000"/>
        </w:rPr>
        <w:t>Priscila Krause</w:t>
      </w:r>
    </w:p>
    <w:p w:rsidR="007A7342" w:rsidRPr="0012298E" w:rsidRDefault="007A7342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1170" w:rsidRPr="00771170" w:rsidRDefault="00771170" w:rsidP="00903EB7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7A7342" w:rsidRPr="007A7342" w:rsidRDefault="00771170" w:rsidP="007A734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Ainda conforme o termo aditivo em questão, a cláusula segunda registra que “o contratado pagará ao contratante o valor de </w:t>
      </w:r>
      <w:proofErr w:type="gramStart"/>
      <w:r>
        <w:rPr>
          <w:rFonts w:ascii="Arial" w:hAnsi="Arial" w:cs="Arial"/>
          <w:sz w:val="24"/>
          <w:szCs w:val="24"/>
        </w:rPr>
        <w:t>R$ 139.200.000,00 (cento e trinta e nove milhões e duzentos mil real), em uma única parcela</w:t>
      </w:r>
      <w:r w:rsidR="007A7342">
        <w:rPr>
          <w:rFonts w:ascii="Arial" w:hAnsi="Arial" w:cs="Arial"/>
          <w:sz w:val="24"/>
          <w:szCs w:val="24"/>
        </w:rPr>
        <w:t>, creditado</w:t>
      </w:r>
      <w:proofErr w:type="gramEnd"/>
      <w:r w:rsidR="007A7342">
        <w:rPr>
          <w:rFonts w:ascii="Arial" w:hAnsi="Arial" w:cs="Arial"/>
          <w:sz w:val="24"/>
          <w:szCs w:val="24"/>
        </w:rPr>
        <w:t xml:space="preserve"> em contata indicada pela Secretaria da Fazenda, devendo o comprovante da transação ser apresentado à Secretaria de Administração, no prazo máximo de 03 dias contatos da assinatura do presente Termo Aditivo</w:t>
      </w:r>
      <w:r>
        <w:rPr>
          <w:rFonts w:ascii="Arial" w:hAnsi="Arial" w:cs="Arial"/>
          <w:sz w:val="24"/>
          <w:szCs w:val="24"/>
        </w:rPr>
        <w:t>”</w:t>
      </w:r>
      <w:r w:rsidR="007A7342">
        <w:rPr>
          <w:rFonts w:ascii="Arial" w:hAnsi="Arial" w:cs="Arial"/>
          <w:sz w:val="24"/>
          <w:szCs w:val="24"/>
        </w:rPr>
        <w:t>, ou seja, até 10 de dezembro de 2018, visto que o Termo Aditivo foi assinado em 07 de dezembro de 2018.</w:t>
      </w:r>
    </w:p>
    <w:p w:rsidR="007A7342" w:rsidRPr="007A7342" w:rsidRDefault="007A7342" w:rsidP="007A7342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1170" w:rsidRPr="007A7342" w:rsidRDefault="00771170" w:rsidP="007A734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A cláusula quinta</w:t>
      </w:r>
      <w:r w:rsidR="007A7342">
        <w:rPr>
          <w:rFonts w:ascii="Arial" w:hAnsi="Arial" w:cs="Arial"/>
          <w:sz w:val="24"/>
          <w:szCs w:val="24"/>
        </w:rPr>
        <w:t xml:space="preserve"> do supracitado Termo</w:t>
      </w:r>
      <w:r>
        <w:rPr>
          <w:rFonts w:ascii="Arial" w:hAnsi="Arial" w:cs="Arial"/>
          <w:sz w:val="24"/>
          <w:szCs w:val="24"/>
        </w:rPr>
        <w:t xml:space="preserve"> sublinha que o “extrato do presente Instrumento será publicado no Diário Oficial do Estado de </w:t>
      </w:r>
      <w:r w:rsidRPr="007A7342">
        <w:rPr>
          <w:rFonts w:ascii="Arial" w:hAnsi="Arial" w:cs="Arial"/>
          <w:sz w:val="24"/>
          <w:szCs w:val="24"/>
        </w:rPr>
        <w:t xml:space="preserve">Pernambuco, como condição de sua eficácia”. </w:t>
      </w:r>
      <w:r w:rsidRPr="007A7342">
        <w:rPr>
          <w:rFonts w:ascii="Arial" w:hAnsi="Arial" w:cs="Arial"/>
          <w:b/>
          <w:sz w:val="24"/>
          <w:szCs w:val="24"/>
          <w:u w:val="single"/>
        </w:rPr>
        <w:t>Até a presente data, no e</w:t>
      </w:r>
      <w:r w:rsidR="007A7342">
        <w:rPr>
          <w:rFonts w:ascii="Arial" w:hAnsi="Arial" w:cs="Arial"/>
          <w:b/>
          <w:sz w:val="24"/>
          <w:szCs w:val="24"/>
          <w:u w:val="single"/>
        </w:rPr>
        <w:t>ntanto, não há registro</w:t>
      </w:r>
      <w:r w:rsidRPr="007A7342">
        <w:rPr>
          <w:rFonts w:ascii="Arial" w:hAnsi="Arial" w:cs="Arial"/>
          <w:b/>
          <w:sz w:val="24"/>
          <w:szCs w:val="24"/>
          <w:u w:val="single"/>
        </w:rPr>
        <w:t xml:space="preserve"> da publicação. </w:t>
      </w:r>
    </w:p>
    <w:p w:rsidR="00771170" w:rsidRPr="00771170" w:rsidRDefault="00771170" w:rsidP="00903EB7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50014F" w:rsidRDefault="0012298E" w:rsidP="00903E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Nota técnica 001/2018,</w:t>
      </w:r>
      <w:r w:rsidR="007A7342">
        <w:rPr>
          <w:rFonts w:ascii="Arial" w:hAnsi="Arial" w:cs="Arial"/>
          <w:sz w:val="24"/>
          <w:szCs w:val="24"/>
        </w:rPr>
        <w:t xml:space="preserve"> que justificaria o Termo Aditivo,</w:t>
      </w:r>
      <w:r>
        <w:rPr>
          <w:rFonts w:ascii="Arial" w:hAnsi="Arial" w:cs="Arial"/>
          <w:sz w:val="24"/>
          <w:szCs w:val="24"/>
        </w:rPr>
        <w:t xml:space="preserve"> </w:t>
      </w:r>
      <w:r w:rsidR="004F1B6F">
        <w:rPr>
          <w:rFonts w:ascii="Arial" w:hAnsi="Arial" w:cs="Arial"/>
          <w:sz w:val="24"/>
          <w:szCs w:val="24"/>
        </w:rPr>
        <w:t xml:space="preserve">“o Estado de Pernambuco fica obrigado a enviar a partir de janeiro/2020 as informações trabalhistas, previdenciárias, tributárias e fiscais dos órgãos públicos”. Dessa forma, com as razões explicitadas, solicitam a </w:t>
      </w:r>
      <w:r w:rsidR="007C7923">
        <w:rPr>
          <w:rFonts w:ascii="Arial" w:hAnsi="Arial" w:cs="Arial"/>
          <w:sz w:val="24"/>
          <w:szCs w:val="24"/>
        </w:rPr>
        <w:t>“</w:t>
      </w:r>
      <w:r w:rsidR="004F1B6F">
        <w:rPr>
          <w:rFonts w:ascii="Arial" w:hAnsi="Arial" w:cs="Arial"/>
          <w:sz w:val="24"/>
          <w:szCs w:val="24"/>
        </w:rPr>
        <w:t xml:space="preserve">gestão junto ao banco para viabilizar a realização dos serviços supracitados que </w:t>
      </w:r>
      <w:r w:rsidR="004F1B6F" w:rsidRPr="007A7342">
        <w:rPr>
          <w:rFonts w:ascii="Arial" w:hAnsi="Arial" w:cs="Arial"/>
          <w:b/>
          <w:sz w:val="24"/>
          <w:szCs w:val="24"/>
          <w:u w:val="single"/>
        </w:rPr>
        <w:t>serão prestados sem ônus para o tesouro estadual</w:t>
      </w:r>
      <w:r w:rsidR="004F1B6F">
        <w:rPr>
          <w:rFonts w:ascii="Arial" w:hAnsi="Arial" w:cs="Arial"/>
          <w:sz w:val="24"/>
          <w:szCs w:val="24"/>
        </w:rPr>
        <w:t xml:space="preserve">”. </w:t>
      </w:r>
      <w:r w:rsidR="007C7923">
        <w:rPr>
          <w:rFonts w:ascii="Arial" w:hAnsi="Arial" w:cs="Arial"/>
          <w:sz w:val="24"/>
          <w:szCs w:val="24"/>
        </w:rPr>
        <w:t xml:space="preserve">É relevante citar, no entanto, que o fato de os entes que compõem a Administração Pública serem obrigados a prestar as informações conforme as normas do </w:t>
      </w:r>
      <w:proofErr w:type="gramStart"/>
      <w:r w:rsidR="007C7923">
        <w:rPr>
          <w:rFonts w:ascii="Arial" w:hAnsi="Arial" w:cs="Arial"/>
          <w:sz w:val="24"/>
          <w:szCs w:val="24"/>
        </w:rPr>
        <w:t>eSocial</w:t>
      </w:r>
      <w:proofErr w:type="gramEnd"/>
      <w:r w:rsidR="007C7923">
        <w:rPr>
          <w:rFonts w:ascii="Arial" w:hAnsi="Arial" w:cs="Arial"/>
          <w:sz w:val="24"/>
          <w:szCs w:val="24"/>
        </w:rPr>
        <w:t xml:space="preserve"> já são de conhecimento público desde 30 de agosto de 2016, conforme a Resolução do Comitê Diretivo do eSocial nº 2 (</w:t>
      </w:r>
      <w:r w:rsidR="00B827B7">
        <w:rPr>
          <w:rFonts w:ascii="Arial" w:hAnsi="Arial" w:cs="Arial"/>
          <w:sz w:val="24"/>
          <w:szCs w:val="24"/>
        </w:rPr>
        <w:t>ANEXO</w:t>
      </w:r>
      <w:r w:rsidR="007C7923">
        <w:rPr>
          <w:rFonts w:ascii="Arial" w:hAnsi="Arial" w:cs="Arial"/>
          <w:sz w:val="24"/>
          <w:szCs w:val="24"/>
        </w:rPr>
        <w:t xml:space="preserve"> F), reforçando a extemporaneidade da prorrogação que</w:t>
      </w:r>
      <w:r w:rsidR="0050014F">
        <w:rPr>
          <w:rFonts w:ascii="Arial" w:hAnsi="Arial" w:cs="Arial"/>
          <w:sz w:val="24"/>
          <w:szCs w:val="24"/>
        </w:rPr>
        <w:t xml:space="preserve">, sim, </w:t>
      </w:r>
      <w:r w:rsidR="007C7923">
        <w:rPr>
          <w:rFonts w:ascii="Arial" w:hAnsi="Arial" w:cs="Arial"/>
          <w:sz w:val="24"/>
          <w:szCs w:val="24"/>
        </w:rPr>
        <w:t xml:space="preserve"> </w:t>
      </w:r>
    </w:p>
    <w:p w:rsidR="0050014F" w:rsidRPr="0050014F" w:rsidRDefault="0050014F" w:rsidP="0050014F">
      <w:pPr>
        <w:pStyle w:val="PargrafodaLista"/>
        <w:rPr>
          <w:rFonts w:ascii="Arial" w:hAnsi="Arial" w:cs="Arial"/>
          <w:sz w:val="24"/>
          <w:szCs w:val="24"/>
        </w:rPr>
      </w:pPr>
    </w:p>
    <w:p w:rsidR="0050014F" w:rsidRDefault="0050014F" w:rsidP="0050014F">
      <w:pPr>
        <w:pStyle w:val="Cabealh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2306B92" wp14:editId="769B9C46">
            <wp:extent cx="628650" cy="666750"/>
            <wp:effectExtent l="0" t="0" r="0" b="0"/>
            <wp:docPr id="5" name="Imagem 5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4F" w:rsidRDefault="0050014F" w:rsidP="0050014F">
      <w:pPr>
        <w:pStyle w:val="Cabealho"/>
        <w:jc w:val="center"/>
        <w:rPr>
          <w:color w:val="000000"/>
        </w:rPr>
      </w:pPr>
    </w:p>
    <w:p w:rsidR="0050014F" w:rsidRDefault="0050014F" w:rsidP="0050014F">
      <w:pPr>
        <w:pStyle w:val="Cabealh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ASSEMBLÉIA LEGISLATIVA DO ESTADO DE PERNAMBUCO</w:t>
      </w:r>
    </w:p>
    <w:p w:rsidR="0050014F" w:rsidRPr="008E6F1A" w:rsidRDefault="0050014F" w:rsidP="0050014F">
      <w:pPr>
        <w:pStyle w:val="Cabealho"/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00"/>
        </w:rPr>
        <w:t xml:space="preserve">Gabinete da Deputada </w:t>
      </w:r>
      <w:r>
        <w:rPr>
          <w:rFonts w:ascii="Arial" w:hAnsi="Arial" w:cs="Arial"/>
          <w:b/>
          <w:bCs/>
          <w:color w:val="000000"/>
        </w:rPr>
        <w:t>Priscila Krause</w:t>
      </w:r>
    </w:p>
    <w:p w:rsidR="0050014F" w:rsidRDefault="0050014F" w:rsidP="0050014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0014F" w:rsidRDefault="0050014F" w:rsidP="0050014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71170" w:rsidRPr="0050014F" w:rsidRDefault="007C7923" w:rsidP="0050014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0014F">
        <w:rPr>
          <w:rFonts w:ascii="Arial" w:hAnsi="Arial" w:cs="Arial"/>
          <w:sz w:val="24"/>
          <w:szCs w:val="24"/>
        </w:rPr>
        <w:t>não guarda qualquer relação com a necessidade de ajustes nas obrigações contratuais exigidas por parte do governo de Pernambuco ao Banco Bradesco. Ainda nesse sentido, se as informações já deverão ser remetidas ao governo fed</w:t>
      </w:r>
      <w:r w:rsidR="0050014F">
        <w:rPr>
          <w:rFonts w:ascii="Arial" w:hAnsi="Arial" w:cs="Arial"/>
          <w:sz w:val="24"/>
          <w:szCs w:val="24"/>
        </w:rPr>
        <w:t xml:space="preserve">eral em janeiro de 2020, qual o sentido </w:t>
      </w:r>
      <w:r w:rsidRPr="0050014F">
        <w:rPr>
          <w:rFonts w:ascii="Arial" w:hAnsi="Arial" w:cs="Arial"/>
          <w:sz w:val="24"/>
          <w:szCs w:val="24"/>
        </w:rPr>
        <w:t>de se prorrogar o prazo contratual da operacionalização da folha no período fevereiro de 2021 a fevereiro de 2022?</w:t>
      </w:r>
    </w:p>
    <w:p w:rsidR="00903EB7" w:rsidRDefault="00903EB7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03EB7" w:rsidRPr="0050014F" w:rsidRDefault="00903EB7" w:rsidP="0050014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Interessante relatar, a título de comparação, como outros entes da administração pública tem se comportado em relação à implantação do eSocial na relação contratual entre si e a instituição financeira responsável pela gestão e operacionalização de suas folhas de pagamento. No caso, </w:t>
      </w:r>
      <w:r w:rsidR="0050014F">
        <w:rPr>
          <w:rFonts w:ascii="Arial" w:hAnsi="Arial" w:cs="Arial"/>
          <w:sz w:val="24"/>
          <w:szCs w:val="24"/>
        </w:rPr>
        <w:t>utilizamos</w:t>
      </w:r>
      <w:r w:rsidR="00541BF2">
        <w:rPr>
          <w:rFonts w:ascii="Arial" w:hAnsi="Arial" w:cs="Arial"/>
          <w:sz w:val="24"/>
          <w:szCs w:val="24"/>
        </w:rPr>
        <w:t xml:space="preserve"> o exemplo do município com a maior folha </w:t>
      </w:r>
      <w:r w:rsidR="00541BF2" w:rsidRPr="0050014F">
        <w:rPr>
          <w:rFonts w:ascii="Arial" w:hAnsi="Arial" w:cs="Arial"/>
          <w:sz w:val="24"/>
          <w:szCs w:val="24"/>
        </w:rPr>
        <w:t xml:space="preserve">de pagamento do Estado de Pernambuco, o Recife. </w:t>
      </w:r>
      <w:r w:rsidR="00B827B7" w:rsidRPr="0050014F">
        <w:rPr>
          <w:rFonts w:ascii="Arial" w:hAnsi="Arial" w:cs="Arial"/>
          <w:sz w:val="24"/>
          <w:szCs w:val="24"/>
        </w:rPr>
        <w:t xml:space="preserve">Em 19 de janeiro deste ano, publicação do Diário Oficial do Recife (ANEXO G) registra que o contrato de prestação de serviços nº 3101.28.2017 firmado entre o município do Recife e o Banco Bradesco – também para operacionalização folha dos servidores daquela administração – foi aditado também no que se refere às “obrigações da contratada”, porém não foi alterado valor da contratação nem prorrogado o prazo estabelecido (60 meses). </w:t>
      </w:r>
    </w:p>
    <w:p w:rsidR="00B827B7" w:rsidRDefault="00B827B7" w:rsidP="00B827B7">
      <w:pPr>
        <w:pStyle w:val="PargrafodaLista"/>
        <w:rPr>
          <w:rFonts w:ascii="Arial" w:hAnsi="Arial" w:cs="Arial"/>
          <w:sz w:val="24"/>
          <w:szCs w:val="24"/>
        </w:rPr>
      </w:pPr>
    </w:p>
    <w:p w:rsidR="0050014F" w:rsidRDefault="0050014F" w:rsidP="0050014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0014F">
        <w:rPr>
          <w:rFonts w:ascii="Arial" w:hAnsi="Arial" w:cs="Arial"/>
          <w:sz w:val="24"/>
          <w:szCs w:val="24"/>
        </w:rPr>
        <w:t xml:space="preserve">Por fim, expostas as razões e os documentos comprobatórios, </w:t>
      </w:r>
      <w:r w:rsidR="00CB4074">
        <w:rPr>
          <w:rFonts w:ascii="Arial" w:hAnsi="Arial" w:cs="Arial"/>
          <w:sz w:val="24"/>
          <w:szCs w:val="24"/>
        </w:rPr>
        <w:t xml:space="preserve">concluímos </w:t>
      </w:r>
      <w:r>
        <w:rPr>
          <w:rFonts w:ascii="Arial" w:hAnsi="Arial" w:cs="Arial"/>
          <w:sz w:val="24"/>
          <w:szCs w:val="24"/>
        </w:rPr>
        <w:t>que o governo de Pernambuco no fechamento das contas de 2018 utilizou de expediente em desconformidade com a legislação vigente no País para incrementar sua Receita Corrente Líquida em R$ 139,2 milhões ao a</w:t>
      </w:r>
      <w:r w:rsidRPr="0050014F">
        <w:rPr>
          <w:rFonts w:ascii="Arial" w:hAnsi="Arial" w:cs="Arial"/>
          <w:sz w:val="24"/>
          <w:szCs w:val="24"/>
        </w:rPr>
        <w:t xml:space="preserve">ntecipar receita patrimonial em 24 meses utilizando justificativa inócua para tal, </w:t>
      </w:r>
      <w:proofErr w:type="gramStart"/>
      <w:r w:rsidRPr="0050014F">
        <w:rPr>
          <w:rFonts w:ascii="Arial" w:hAnsi="Arial" w:cs="Arial"/>
          <w:sz w:val="24"/>
          <w:szCs w:val="24"/>
        </w:rPr>
        <w:t>fazendo</w:t>
      </w:r>
      <w:proofErr w:type="gramEnd"/>
      <w:r w:rsidRPr="0050014F">
        <w:rPr>
          <w:rFonts w:ascii="Arial" w:hAnsi="Arial" w:cs="Arial"/>
          <w:sz w:val="24"/>
          <w:szCs w:val="24"/>
        </w:rPr>
        <w:t xml:space="preserve"> </w:t>
      </w:r>
    </w:p>
    <w:p w:rsidR="0050014F" w:rsidRDefault="0050014F" w:rsidP="0050014F">
      <w:pPr>
        <w:pStyle w:val="Cabealh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259C33DF" wp14:editId="747EB944">
            <wp:extent cx="628650" cy="666750"/>
            <wp:effectExtent l="0" t="0" r="0" b="0"/>
            <wp:docPr id="6" name="Imagem 6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4F" w:rsidRDefault="0050014F" w:rsidP="0050014F">
      <w:pPr>
        <w:pStyle w:val="Cabealho"/>
        <w:jc w:val="center"/>
        <w:rPr>
          <w:color w:val="000000"/>
        </w:rPr>
      </w:pPr>
    </w:p>
    <w:p w:rsidR="0050014F" w:rsidRDefault="0050014F" w:rsidP="0050014F">
      <w:pPr>
        <w:pStyle w:val="Cabealh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ASSEMBLÉIA LEGISLATIVA DO ESTADO DE PERNAMBUCO</w:t>
      </w:r>
    </w:p>
    <w:p w:rsidR="0050014F" w:rsidRPr="008E6F1A" w:rsidRDefault="0050014F" w:rsidP="0050014F">
      <w:pPr>
        <w:pStyle w:val="Cabealho"/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00"/>
        </w:rPr>
        <w:t xml:space="preserve">Gabinete da Deputada </w:t>
      </w:r>
      <w:r>
        <w:rPr>
          <w:rFonts w:ascii="Arial" w:hAnsi="Arial" w:cs="Arial"/>
          <w:b/>
          <w:bCs/>
          <w:color w:val="000000"/>
        </w:rPr>
        <w:t>Priscila Krause</w:t>
      </w:r>
    </w:p>
    <w:p w:rsidR="0050014F" w:rsidRDefault="0050014F" w:rsidP="005001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014F" w:rsidRDefault="0050014F" w:rsidP="005001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014F" w:rsidRDefault="0050014F" w:rsidP="005001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mau</w:t>
      </w:r>
      <w:proofErr w:type="gramEnd"/>
      <w:r w:rsidRPr="0050014F">
        <w:rPr>
          <w:rFonts w:ascii="Arial" w:hAnsi="Arial" w:cs="Arial"/>
          <w:sz w:val="24"/>
          <w:szCs w:val="24"/>
        </w:rPr>
        <w:t xml:space="preserve"> uso de ativo </w:t>
      </w:r>
      <w:r>
        <w:rPr>
          <w:rFonts w:ascii="Arial" w:hAnsi="Arial" w:cs="Arial"/>
          <w:sz w:val="24"/>
          <w:szCs w:val="24"/>
        </w:rPr>
        <w:t xml:space="preserve">futuro </w:t>
      </w:r>
      <w:r w:rsidRPr="0050014F">
        <w:rPr>
          <w:rFonts w:ascii="Arial" w:hAnsi="Arial" w:cs="Arial"/>
          <w:sz w:val="24"/>
          <w:szCs w:val="24"/>
        </w:rPr>
        <w:t>de significativa importância (venda</w:t>
      </w:r>
      <w:r>
        <w:rPr>
          <w:rFonts w:ascii="Arial" w:hAnsi="Arial" w:cs="Arial"/>
          <w:sz w:val="24"/>
          <w:szCs w:val="24"/>
        </w:rPr>
        <w:t xml:space="preserve"> da operacionalização da folha), além de r</w:t>
      </w:r>
      <w:r w:rsidRPr="0050014F">
        <w:rPr>
          <w:rFonts w:ascii="Arial" w:hAnsi="Arial" w:cs="Arial"/>
          <w:sz w:val="24"/>
          <w:szCs w:val="24"/>
        </w:rPr>
        <w:t>ealizar transação de elevada m</w:t>
      </w:r>
      <w:r>
        <w:rPr>
          <w:rFonts w:ascii="Arial" w:hAnsi="Arial" w:cs="Arial"/>
          <w:sz w:val="24"/>
          <w:szCs w:val="24"/>
        </w:rPr>
        <w:t>onta sem a devida transparência. Nesse sentido, no cumprimento do dever de ofício de proteção à responsabilidade fiscal,</w:t>
      </w:r>
      <w:r w:rsidR="00CB4074">
        <w:rPr>
          <w:rFonts w:ascii="Arial" w:hAnsi="Arial" w:cs="Arial"/>
          <w:sz w:val="24"/>
          <w:szCs w:val="24"/>
        </w:rPr>
        <w:t xml:space="preserve"> reitero solicitação de análise e posterior adoção de medidas cabíveis</w:t>
      </w:r>
      <w:r>
        <w:rPr>
          <w:rFonts w:ascii="Arial" w:hAnsi="Arial" w:cs="Arial"/>
          <w:sz w:val="24"/>
          <w:szCs w:val="24"/>
        </w:rPr>
        <w:t>.</w:t>
      </w:r>
    </w:p>
    <w:p w:rsidR="0050014F" w:rsidRDefault="0050014F" w:rsidP="0050014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50014F" w:rsidRDefault="0050014F" w:rsidP="0050014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para o momento, </w:t>
      </w:r>
      <w:r w:rsidR="002C34D0">
        <w:rPr>
          <w:rFonts w:ascii="Arial" w:hAnsi="Arial" w:cs="Arial"/>
          <w:sz w:val="24"/>
          <w:szCs w:val="24"/>
        </w:rPr>
        <w:t xml:space="preserve">coloco-me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à disposição, </w:t>
      </w:r>
    </w:p>
    <w:p w:rsidR="0050014F" w:rsidRDefault="0050014F" w:rsidP="0050014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50014F" w:rsidRPr="0050014F" w:rsidRDefault="0050014F" w:rsidP="0050014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50014F" w:rsidRDefault="0050014F" w:rsidP="0050014F">
      <w:pPr>
        <w:pStyle w:val="PargrafodaLista"/>
        <w:ind w:left="1005"/>
        <w:rPr>
          <w:rFonts w:ascii="Arial" w:hAnsi="Arial" w:cs="Arial"/>
          <w:sz w:val="24"/>
          <w:szCs w:val="24"/>
        </w:rPr>
      </w:pPr>
    </w:p>
    <w:p w:rsidR="0050014F" w:rsidRPr="0050014F" w:rsidRDefault="0050014F" w:rsidP="0050014F">
      <w:pPr>
        <w:pStyle w:val="PargrafodaLista"/>
        <w:ind w:left="1005"/>
        <w:rPr>
          <w:rFonts w:ascii="Arial" w:hAnsi="Arial" w:cs="Arial"/>
          <w:sz w:val="24"/>
          <w:szCs w:val="24"/>
        </w:rPr>
      </w:pPr>
    </w:p>
    <w:p w:rsidR="007D34AD" w:rsidRDefault="007D34AD" w:rsidP="007D34AD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D34AD" w:rsidRPr="0050014F" w:rsidRDefault="007D34AD" w:rsidP="0050014F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50014F">
        <w:rPr>
          <w:rFonts w:ascii="Arial" w:hAnsi="Arial" w:cs="Arial"/>
          <w:sz w:val="24"/>
          <w:szCs w:val="24"/>
        </w:rPr>
        <w:t>Priscila Krause</w:t>
      </w:r>
    </w:p>
    <w:p w:rsidR="007D34AD" w:rsidRPr="0050014F" w:rsidRDefault="007D34AD" w:rsidP="0050014F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50014F">
        <w:rPr>
          <w:rFonts w:ascii="Arial" w:hAnsi="Arial" w:cs="Arial"/>
          <w:sz w:val="24"/>
          <w:szCs w:val="24"/>
        </w:rPr>
        <w:t>Deputada estadual - DEM</w:t>
      </w:r>
    </w:p>
    <w:p w:rsidR="007D34AD" w:rsidRPr="007D34AD" w:rsidRDefault="007D34AD" w:rsidP="007D34AD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71170" w:rsidRPr="00771170" w:rsidRDefault="00771170" w:rsidP="00903EB7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0C5561" w:rsidRPr="000C5561" w:rsidRDefault="000C5561" w:rsidP="00903EB7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0C5561" w:rsidRPr="000C5561" w:rsidRDefault="000C5561" w:rsidP="00903EB7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E7DE4" w:rsidRDefault="003E7DE4"/>
    <w:sectPr w:rsidR="003E7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819"/>
    <w:multiLevelType w:val="hybridMultilevel"/>
    <w:tmpl w:val="B2A4E046"/>
    <w:lvl w:ilvl="0" w:tplc="AA7AB11A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46E52"/>
    <w:multiLevelType w:val="hybridMultilevel"/>
    <w:tmpl w:val="4AE2483C"/>
    <w:lvl w:ilvl="0" w:tplc="7E2A6EF4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E4"/>
    <w:rsid w:val="000B0096"/>
    <w:rsid w:val="000C5561"/>
    <w:rsid w:val="0012298E"/>
    <w:rsid w:val="002C34D0"/>
    <w:rsid w:val="002F7683"/>
    <w:rsid w:val="003E7DE4"/>
    <w:rsid w:val="004F1B6F"/>
    <w:rsid w:val="0050014F"/>
    <w:rsid w:val="00541BF2"/>
    <w:rsid w:val="006E4C23"/>
    <w:rsid w:val="0076458F"/>
    <w:rsid w:val="00771170"/>
    <w:rsid w:val="00794769"/>
    <w:rsid w:val="007A7342"/>
    <w:rsid w:val="007C7923"/>
    <w:rsid w:val="007D34AD"/>
    <w:rsid w:val="00801AD9"/>
    <w:rsid w:val="00852587"/>
    <w:rsid w:val="00903EB7"/>
    <w:rsid w:val="00B5093F"/>
    <w:rsid w:val="00B827B7"/>
    <w:rsid w:val="00C1266D"/>
    <w:rsid w:val="00CB4074"/>
    <w:rsid w:val="00E73243"/>
    <w:rsid w:val="00FC7D04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73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7D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E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DE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E732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7324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0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73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7D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E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DE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E732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7324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0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ALEPE</dc:creator>
  <cp:lastModifiedBy>ALEPE</cp:lastModifiedBy>
  <cp:revision>2</cp:revision>
  <cp:lastPrinted>2019-02-27T17:11:00Z</cp:lastPrinted>
  <dcterms:created xsi:type="dcterms:W3CDTF">2019-02-27T18:16:00Z</dcterms:created>
  <dcterms:modified xsi:type="dcterms:W3CDTF">2019-02-27T18:16:00Z</dcterms:modified>
</cp:coreProperties>
</file>